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Inter" w:cs="Inter" w:eastAsia="Inter" w:hAnsi="Inter"/>
          <w:i w:val="1"/>
          <w:iCs w:val="1"/>
          <w:color w:val="b7b7b7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8"/>
          <w:szCs w:val="28"/>
          <w:rtl w:val="0"/>
        </w:rPr>
        <w:t xml:space="preserve">CONTRAT DE LOCATION SAISONNIÈRE</w:t>
      </w:r>
      <w:r w:rsidDel="00000000" w:rsidR="00000000" w:rsidRPr="00000000">
        <w:rPr>
          <w:rFonts w:ascii="Inter" w:cs="Inter" w:eastAsia="Inter" w:hAnsi="Inter"/>
          <w:i w:val="1"/>
          <w:iCs w:val="1"/>
          <w:color w:val="b7b7b7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spacing w:after="200" w:before="200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PARTIES AU CONTRAT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 présent contrat est conclu entre :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200" w:line="276" w:lineRule="auto"/>
        <w:ind w:left="720" w:hanging="36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 LOCATAIRE</w:t>
      </w:r>
    </w:p>
    <w:p w:rsidR="00000000" w:rsidDel="00000000" w:rsidP="00000000" w:rsidRDefault="00000000" w:rsidRPr="00000000" w14:paraId="00000006">
      <w:pPr>
        <w:spacing w:after="200" w:line="276" w:lineRule="auto"/>
        <w:ind w:left="0" w:firstLine="0"/>
        <w:rPr>
          <w:rFonts w:ascii="Inter" w:cs="Inter" w:eastAsia="Inter" w:hAnsi="Inter"/>
          <w:color w:val="b7b7b7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Nom et prénom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……………………………………………………………………………………………………………………………..………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Inter" w:cs="Inter" w:eastAsia="Inter" w:hAnsi="Inter"/>
          <w:color w:val="b7b7b7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Téléphone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…………………………………………………………………………………………………………………………..………..………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Email (facultatif)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…………………………………………………………………………………………………………………………...………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En cas de pluralité de locataires (colocation ou groupe), ceux-ci sont réputés solidaires. Désigné ci-après « le Locataire ».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200" w:line="276" w:lineRule="auto"/>
        <w:ind w:left="720" w:hanging="36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 BAILLEUR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Personne physique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Personne morale</w:t>
      </w:r>
    </w:p>
    <w:p w:rsidR="00000000" w:rsidDel="00000000" w:rsidP="00000000" w:rsidRDefault="00000000" w:rsidRPr="00000000" w14:paraId="0000000E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Nom / Dénomination sociale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…………………………………………………………………………..………………………………………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Adresse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…………………………………………………………………………..……………………..……………………………………………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Téléphone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…………………………………………………………………………..……………………………………………………………….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Email (facultatif)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…………………………………………………………………………..………………………………………………………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Désigné ci-après « le Bailleur ». Le Bailleur est représenté par un mandataire 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0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Oui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before="0" w:beforeAutospacing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Non</w:t>
      </w:r>
    </w:p>
    <w:p w:rsidR="00000000" w:rsidDel="00000000" w:rsidP="00000000" w:rsidRDefault="00000000" w:rsidRPr="00000000" w14:paraId="00000015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 cas échéant :</w:t>
      </w:r>
    </w:p>
    <w:p w:rsidR="00000000" w:rsidDel="00000000" w:rsidP="00000000" w:rsidRDefault="00000000" w:rsidRPr="00000000" w14:paraId="00000016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Nom / Raison sociale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…………………………………………………………………………..…………………………………………………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Adresse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…………………………………………………………………………..……………………………………………………………………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200" w:line="276" w:lineRule="auto"/>
        <w:rPr>
          <w:rFonts w:ascii="Inter" w:cs="Inter" w:eastAsia="Inter" w:hAnsi="Inter"/>
          <w:color w:val="b7b7b7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Numéro de carte professionnelle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…………………………………………………………………………..………………………….……</w:t>
      </w:r>
    </w:p>
    <w:p w:rsidR="00000000" w:rsidDel="00000000" w:rsidP="00000000" w:rsidRDefault="00000000" w:rsidRPr="00000000" w14:paraId="00000019">
      <w:pPr>
        <w:spacing w:after="200" w:before="0" w:lineRule="auto"/>
        <w:ind w:left="0" w:firstLine="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00" w:before="0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PARTIES AU CONTRAT</w:t>
      </w:r>
    </w:p>
    <w:p w:rsidR="00000000" w:rsidDel="00000000" w:rsidP="00000000" w:rsidRDefault="00000000" w:rsidRPr="00000000" w14:paraId="0000001B">
      <w:pPr>
        <w:spacing w:after="0" w:before="200" w:lineRule="auto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 présent contrat a pour objet la location saisonnière d’un logement meublé, au sens des articles L.324-1 et suivants du Code du tourisme. Il ne constitue en aucun cas la résidence principale du Locataire. Ce logement a fait l’objet d’une déclaration enregistrée sous le numéro XXX, conformément aux dispositions de L. 324-1-1 du code du tourisme</w:t>
      </w: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before="200" w:lineRule="auto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00" w:lineRule="auto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00" w:before="0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DÉSIGNATION DU LOGEMENT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Adresse complète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Type d’immeuble 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Immeuble collectif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Maison individuelle</w:t>
      </w:r>
    </w:p>
    <w:p w:rsidR="00000000" w:rsidDel="00000000" w:rsidP="00000000" w:rsidRDefault="00000000" w:rsidRPr="00000000" w14:paraId="00000023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Régime 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Monopropriété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0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Copropriété</w:t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Surface habitable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m².</w:t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Nombre de pièces principales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Équipements privatifs et mobilier : décrits dans l’état descriptif annexé.</w:t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Capacité maximale d’occupation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personnes.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Toute occupation excédant cette capacité devra être préalablement autorisée par le Bailleur et pourra donner lieu à une majoration tarifaire.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00" w:before="200" w:line="276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DESTINATION ET USAGE DES LIEUX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 logement est loué à usage exclusif d’habitation temporaire. Toute activité professionnelle, commerciale ou toute sous-location est strictement interdite.</w:t>
      </w:r>
    </w:p>
    <w:p w:rsidR="00000000" w:rsidDel="00000000" w:rsidP="00000000" w:rsidRDefault="00000000" w:rsidRPr="00000000" w14:paraId="0000002E">
      <w:pPr>
        <w:spacing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 Locataire s’engage à user paisiblement du logement et à respecter le voisinage.</w:t>
      </w:r>
    </w:p>
    <w:p w:rsidR="00000000" w:rsidDel="00000000" w:rsidP="00000000" w:rsidRDefault="00000000" w:rsidRPr="00000000" w14:paraId="0000002F">
      <w:pPr>
        <w:spacing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Les équipements sont réputés fonctionnels à l’entrée dans les lieux. Toute réclamation devra être formulée dans un délai de 24 heures.</w:t>
      </w:r>
    </w:p>
    <w:p w:rsidR="00000000" w:rsidDel="00000000" w:rsidP="00000000" w:rsidRDefault="00000000" w:rsidRPr="00000000" w14:paraId="00000030">
      <w:pPr>
        <w:spacing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00" w:before="0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DURÉE DE LA 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La location est consentie pour une durée déterminée et non renouvelable :</w:t>
      </w:r>
    </w:p>
    <w:p w:rsidR="00000000" w:rsidDel="00000000" w:rsidP="00000000" w:rsidRDefault="00000000" w:rsidRPr="00000000" w14:paraId="00000033">
      <w:pPr>
        <w:spacing w:after="200" w:lineRule="auto"/>
        <w:rPr>
          <w:rFonts w:ascii="Inter" w:cs="Inter" w:eastAsia="Inter" w:hAnsi="Inter"/>
          <w:color w:val="b7b7b7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Du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à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h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</w:p>
    <w:p w:rsidR="00000000" w:rsidDel="00000000" w:rsidP="00000000" w:rsidRDefault="00000000" w:rsidRPr="00000000" w14:paraId="00000034">
      <w:pPr>
        <w:spacing w:after="20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Au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à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h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Soit une durée totale de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jours.</w:t>
      </w:r>
    </w:p>
    <w:p w:rsidR="00000000" w:rsidDel="00000000" w:rsidP="00000000" w:rsidRDefault="00000000" w:rsidRPr="00000000" w14:paraId="00000036">
      <w:pPr>
        <w:spacing w:after="20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Les modalités de remise et de restitution des clés sont définies d’un commun accord entre les parties.</w:t>
      </w:r>
    </w:p>
    <w:p w:rsidR="00000000" w:rsidDel="00000000" w:rsidP="00000000" w:rsidRDefault="00000000" w:rsidRPr="00000000" w14:paraId="00000037">
      <w:pPr>
        <w:spacing w:after="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00" w:before="0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CONDITIONS FINANCIÈRES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200" w:lineRule="auto"/>
        <w:ind w:left="720" w:hanging="36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PRIX DE LA LOCATION</w:t>
      </w:r>
    </w:p>
    <w:p w:rsidR="00000000" w:rsidDel="00000000" w:rsidP="00000000" w:rsidRDefault="00000000" w:rsidRPr="00000000" w14:paraId="0000003F">
      <w:pPr>
        <w:spacing w:after="200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La présente location est consentie moyennant un prix global de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€ pour l’intégralité de la durée du séjour.</w:t>
      </w:r>
    </w:p>
    <w:p w:rsidR="00000000" w:rsidDel="00000000" w:rsidP="00000000" w:rsidRDefault="00000000" w:rsidRPr="00000000" w14:paraId="00000040">
      <w:pPr>
        <w:spacing w:after="200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Ce prix correspond couvre la mise à disposition du logement meublé, dans les conditions prévues au présent contrat, ainsi que les charges, à l’exception de la consommation d’électricité qui fait l’objet d’une facturation complémentaire dans les conditions prévues à l’article 6.2.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200" w:lineRule="auto"/>
        <w:ind w:left="720" w:hanging="36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FACTURATION DE LA CONSOMMATION D’ÉLECTRICITÉ DURANT LA PÉRIODE DE LOCATION</w:t>
      </w:r>
    </w:p>
    <w:p w:rsidR="00000000" w:rsidDel="00000000" w:rsidP="00000000" w:rsidRDefault="00000000" w:rsidRPr="00000000" w14:paraId="00000042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La consommation d’électricité du logement est facturée sur la base de la consommation réelle constatée entre :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0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la date et l’heure de l’état des lieux d’entrée,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200" w:before="0" w:beforeAutospacing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et la date et l’heure de l’état des lieux de sortie.</w:t>
      </w:r>
    </w:p>
    <w:p w:rsidR="00000000" w:rsidDel="00000000" w:rsidP="00000000" w:rsidRDefault="00000000" w:rsidRPr="00000000" w14:paraId="00000045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 montant dû est déterminé selon la formule suivante :</w:t>
      </w:r>
    </w:p>
    <w:p w:rsidR="00000000" w:rsidDel="00000000" w:rsidP="00000000" w:rsidRDefault="00000000" w:rsidRPr="00000000" w14:paraId="00000046">
      <w:pPr>
        <w:spacing w:after="200" w:before="200" w:line="276" w:lineRule="auto"/>
        <w:rPr>
          <w:rFonts w:ascii="Inter" w:cs="Inter" w:eastAsia="Inter" w:hAnsi="Inter"/>
          <w:b w:val="1"/>
          <w:bCs w:val="1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18"/>
          <w:szCs w:val="18"/>
          <w:rtl w:val="0"/>
        </w:rPr>
        <w:t xml:space="preserve">Nombre de kilowattheures (kWh) consommés x prix unitaire du kWh appliqué par le fournisseur d’électricité du logement au moment de la location.</w:t>
      </w:r>
    </w:p>
    <w:p w:rsidR="00000000" w:rsidDel="00000000" w:rsidP="00000000" w:rsidRDefault="00000000" w:rsidRPr="00000000" w14:paraId="00000047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Les frais fixes d’abonnement, de mise en service ou d’options contractuelles ne sont pas refacturés au Locataire.</w:t>
      </w:r>
    </w:p>
    <w:p w:rsidR="00000000" w:rsidDel="00000000" w:rsidP="00000000" w:rsidRDefault="00000000" w:rsidRPr="00000000" w14:paraId="00000048">
      <w:pPr>
        <w:spacing w:after="200" w:before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La consommation est établie à partir des relevés d’index effectués contradictoirement lors des états des lieux et peut être appuyée, à titre justificatif, par un rapport de suivi de consommation issu de la solution </w:t>
      </w:r>
      <w:r w:rsidDel="00000000" w:rsidR="00000000" w:rsidRPr="00000000">
        <w:rPr>
          <w:rFonts w:ascii="Inter" w:cs="Inter" w:eastAsia="Inter" w:hAnsi="Inter"/>
          <w:b w:val="1"/>
          <w:bCs w:val="1"/>
          <w:sz w:val="18"/>
          <w:szCs w:val="18"/>
          <w:rtl w:val="0"/>
        </w:rPr>
        <w:t xml:space="preserve">MySelectra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200" w:lineRule="auto"/>
        <w:ind w:left="720" w:hanging="36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TAXE DE SÉJOUR</w:t>
      </w:r>
    </w:p>
    <w:p w:rsidR="00000000" w:rsidDel="00000000" w:rsidP="00000000" w:rsidRDefault="00000000" w:rsidRPr="00000000" w14:paraId="0000004A">
      <w:pPr>
        <w:spacing w:after="0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La taxe de séjour, lorsqu’elle est applicable, est due par le Locataire conformément à la réglementation en vigueur.</w:t>
      </w:r>
    </w:p>
    <w:p w:rsidR="00000000" w:rsidDel="00000000" w:rsidP="00000000" w:rsidRDefault="00000000" w:rsidRPr="00000000" w14:paraId="0000004B">
      <w:pPr>
        <w:spacing w:after="0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200" w:before="200" w:line="276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MODALITÉS DE PAIEMENT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Acompte versé à la réservation :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€.</w:t>
      </w:r>
    </w:p>
    <w:p w:rsidR="00000000" w:rsidDel="00000000" w:rsidP="00000000" w:rsidRDefault="00000000" w:rsidRPr="00000000" w14:paraId="0000004E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Solde à régler : 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à l’entrée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0" w:afterAutospacing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avant l’entrée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spacing w:after="20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à la sortie</w:t>
      </w:r>
    </w:p>
    <w:p w:rsidR="00000000" w:rsidDel="00000000" w:rsidP="00000000" w:rsidRDefault="00000000" w:rsidRPr="00000000" w14:paraId="00000052">
      <w:pPr>
        <w:spacing w:after="0" w:line="276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200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DÉPÔT DE GARANTIE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Un dépôt de garantie d’un montant de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€ est exigé à l’entrée dans les lieux.</w:t>
      </w:r>
    </w:p>
    <w:p w:rsidR="00000000" w:rsidDel="00000000" w:rsidP="00000000" w:rsidRDefault="00000000" w:rsidRPr="00000000" w14:paraId="00000055">
      <w:pPr>
        <w:spacing w:after="200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Il sera restitué après l’état des lieux de sortie, dans un délai maximum d’un mois, déduction faite le cas échéant des sommes dues pour dégradations, ménage ou consommations d’électricité non réglées.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200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ÉTAT DES LIEUX</w:t>
      </w:r>
    </w:p>
    <w:p w:rsidR="00000000" w:rsidDel="00000000" w:rsidP="00000000" w:rsidRDefault="00000000" w:rsidRPr="00000000" w14:paraId="00000057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Un état des lieux contradictoire est établi à l’entrée et à la sortie. Toute dégradation constatée pourra entraîner une retenue sur le dépôt de garantie.</w:t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200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ANNULATION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Annulation par le Locataire plus d’un mois avant l’entrée : acompte conservé.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Annulation moins d’un mois avant l’entrée : totalité du séjour due.</w:t>
      </w:r>
    </w:p>
    <w:p w:rsidR="00000000" w:rsidDel="00000000" w:rsidP="00000000" w:rsidRDefault="00000000" w:rsidRPr="00000000" w14:paraId="0000005C">
      <w:pPr>
        <w:spacing w:after="0" w:before="0" w:line="276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200" w:line="276" w:lineRule="auto"/>
        <w:ind w:left="720" w:hanging="360"/>
        <w:rPr>
          <w:rFonts w:ascii="Inter" w:cs="Inter" w:eastAsia="Inter" w:hAnsi="Inter"/>
          <w:color w:val="0a64c8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ASSURANCE</w:t>
      </w:r>
    </w:p>
    <w:p w:rsidR="00000000" w:rsidDel="00000000" w:rsidP="00000000" w:rsidRDefault="00000000" w:rsidRPr="00000000" w14:paraId="0000005E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Le Locataire déclare être couvert par une assurance responsabilité civile villégiature ou s’engage à en souscrire une pour la durée du séjour.</w:t>
      </w:r>
    </w:p>
    <w:p w:rsidR="00000000" w:rsidDel="00000000" w:rsidP="00000000" w:rsidRDefault="00000000" w:rsidRPr="00000000" w14:paraId="0000005F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200" w:line="276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SOLIDARITÉ</w:t>
      </w:r>
    </w:p>
    <w:p w:rsidR="00000000" w:rsidDel="00000000" w:rsidP="00000000" w:rsidRDefault="00000000" w:rsidRPr="00000000" w14:paraId="00000061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En cas de pluralité de Locataires, ceux-ci sont tenus solidairement et indivisiblement à l’exécution du présent contrat.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200" w:line="276" w:lineRule="auto"/>
        <w:ind w:left="720" w:hanging="360"/>
        <w:rPr>
          <w:rFonts w:ascii="Inter" w:cs="Inter" w:eastAsia="Inter" w:hAnsi="Inter"/>
          <w:color w:val="0a64c8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a64c8"/>
          <w:sz w:val="18"/>
          <w:szCs w:val="18"/>
          <w:rtl w:val="0"/>
        </w:rPr>
        <w:t xml:space="preserve">ANNEXES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État descriptif du logement et du mobilier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afterAutospacing="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État des lieux d’entrée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200" w:line="276" w:lineRule="auto"/>
        <w:ind w:left="720" w:hanging="360"/>
        <w:rPr>
          <w:rFonts w:ascii="Inter" w:cs="Inter" w:eastAsia="Inter" w:hAnsi="Inter"/>
          <w:sz w:val="18"/>
          <w:szCs w:val="18"/>
          <w:u w:val="none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Règlement de copropriété (le cas échéant)</w:t>
      </w:r>
    </w:p>
    <w:p w:rsidR="00000000" w:rsidDel="00000000" w:rsidP="00000000" w:rsidRDefault="00000000" w:rsidRPr="00000000" w14:paraId="00000067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Fait à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………………………………………………………………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l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e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………….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/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…………. 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/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….…………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en </w:t>
      </w:r>
      <w:r w:rsidDel="00000000" w:rsidR="00000000" w:rsidRPr="00000000">
        <w:rPr>
          <w:rFonts w:ascii="Inter" w:cs="Inter" w:eastAsia="Inter" w:hAnsi="Inter"/>
          <w:color w:val="b7b7b7"/>
          <w:sz w:val="18"/>
          <w:szCs w:val="18"/>
          <w:rtl w:val="0"/>
        </w:rPr>
        <w:t xml:space="preserve">………………………………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exemplaires originaux.</w:t>
      </w:r>
    </w:p>
    <w:p w:rsidR="00000000" w:rsidDel="00000000" w:rsidP="00000000" w:rsidRDefault="00000000" w:rsidRPr="00000000" w14:paraId="0000006C">
      <w:pPr>
        <w:spacing w:after="20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Signature du Bailleur                                                                               Signature du Locataire</w:t>
      </w:r>
    </w:p>
    <w:p w:rsidR="00000000" w:rsidDel="00000000" w:rsidP="00000000" w:rsidRDefault="00000000" w:rsidRPr="00000000" w14:paraId="0000006E">
      <w:pPr>
        <w:spacing w:after="200" w:line="276" w:lineRule="auto"/>
        <w:rPr>
          <w:rFonts w:ascii="Inter" w:cs="Inter" w:eastAsia="Inter" w:hAnsi="Inter"/>
          <w:color w:val="b7b7b7"/>
          <w:sz w:val="16"/>
          <w:szCs w:val="16"/>
        </w:rPr>
      </w:pPr>
      <w:r w:rsidDel="00000000" w:rsidR="00000000" w:rsidRPr="00000000">
        <w:rPr>
          <w:rFonts w:ascii="Inter" w:cs="Inter" w:eastAsia="Inter" w:hAnsi="Inter"/>
          <w:color w:val="b7b7b7"/>
          <w:sz w:val="16"/>
          <w:szCs w:val="16"/>
          <w:rtl w:val="0"/>
        </w:rPr>
        <w:t xml:space="preserve">« Lu et approuvé »                                                                                                 « Lu et approuvé »</w:t>
      </w:r>
    </w:p>
    <w:p w:rsidR="00000000" w:rsidDel="00000000" w:rsidP="00000000" w:rsidRDefault="00000000" w:rsidRPr="00000000" w14:paraId="0000006F">
      <w:pPr>
        <w:spacing w:after="200" w:line="276" w:lineRule="auto"/>
        <w:rPr>
          <w:rFonts w:ascii="Inter" w:cs="Inter" w:eastAsia="Inter" w:hAnsi="Inter"/>
          <w:color w:val="b7b7b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line="276" w:lineRule="auto"/>
        <w:rPr>
          <w:rFonts w:ascii="Inter" w:cs="Inter" w:eastAsia="Inter" w:hAnsi="Inter"/>
          <w:color w:val="b7b7b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="276" w:lineRule="auto"/>
        <w:rPr>
          <w:rFonts w:ascii="Inter" w:cs="Inter" w:eastAsia="Inter" w:hAnsi="Inter"/>
          <w:color w:val="b7b7b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line="276" w:lineRule="auto"/>
        <w:rPr>
          <w:rFonts w:ascii="Inter" w:cs="Inter" w:eastAsia="Inter" w:hAnsi="Inter"/>
          <w:color w:val="b7b7b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Rule="auto"/>
        <w:jc w:val="center"/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jc w:val="right"/>
      <w:rPr>
        <w:rFonts w:ascii="Inter" w:cs="Inter" w:eastAsia="Inter" w:hAnsi="Inter"/>
        <w:color w:val="999999"/>
        <w:sz w:val="18"/>
        <w:szCs w:val="18"/>
      </w:rPr>
    </w:pPr>
    <w:r w:rsidDel="00000000" w:rsidR="00000000" w:rsidRPr="00000000">
      <w:rPr>
        <w:rFonts w:ascii="Inter" w:cs="Inter" w:eastAsia="Inter" w:hAnsi="Inter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